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投标前人工复核清单</w:t>
      </w:r>
    </w:p>
    <w:p>
      <w:r>
        <w:t>项目名称：衡山县城市供水提质改造及智慧水务建设项目（供水管网改造一期）</w:t>
      </w:r>
    </w:p>
    <w:p>
      <w:r>
        <w:t>项目编号：PRJ-20260611-164332-767    技术标版本：v009</w:t>
      </w:r>
    </w:p>
    <w:p>
      <w:r>
        <w:t>对应技术标文件：技术标_v009.docx</w:t>
      </w:r>
    </w:p>
    <w:p>
      <w:r>
        <w:t>用途：本清单为提交投标文件前的人工复核用文件，不应并入技术标正文。</w:t>
      </w:r>
    </w:p>
    <w:p>
      <w:pPr>
        <w:pStyle w:val="Heading1"/>
      </w:pPr>
      <w:r>
        <w:t>一、必须人工最终确认事项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序号</w:t>
            </w:r>
          </w:p>
        </w:tc>
        <w:tc>
          <w:tcPr>
            <w:tcW w:type="dxa" w:w="2160"/>
          </w:tcPr>
          <w:p>
            <w:r>
              <w:t>复核项</w:t>
            </w:r>
          </w:p>
        </w:tc>
        <w:tc>
          <w:tcPr>
            <w:tcW w:type="dxa" w:w="2160"/>
          </w:tcPr>
          <w:p>
            <w:r>
              <w:t>人工确认要点</w:t>
            </w:r>
          </w:p>
        </w:tc>
        <w:tc>
          <w:tcPr>
            <w:tcW w:type="dxa" w:w="2160"/>
          </w:tcPr>
          <w:p>
            <w:r>
              <w:t>结果</w:t>
            </w:r>
          </w:p>
        </w:tc>
      </w:tr>
      <w:tr>
        <w:tc>
          <w:tcPr>
            <w:tcW w:type="dxa" w:w="2160"/>
          </w:tcPr>
          <w:p>
            <w:r>
              <w:t>1</w:t>
            </w:r>
          </w:p>
        </w:tc>
        <w:tc>
          <w:tcPr>
            <w:tcW w:type="dxa" w:w="2160"/>
          </w:tcPr>
          <w:p>
            <w:r>
              <w:t>WPS页数和字数</w:t>
            </w:r>
          </w:p>
        </w:tc>
        <w:tc>
          <w:tcPr>
            <w:tcW w:type="dxa" w:w="2160"/>
          </w:tcPr>
          <w:p>
            <w:r>
              <w:t>用公司实际WPS打开最终Word，记录实际页数、字数，检查是否存在空白页、分页异常、表格断页异常。</w:t>
            </w:r>
          </w:p>
        </w:tc>
        <w:tc>
          <w:tcPr>
            <w:tcW w:type="dxa" w:w="2160"/>
          </w:tcPr>
          <w:p>
            <w:r>
              <w:t>□通过  □需修改  □不适用</w:t>
            </w:r>
          </w:p>
        </w:tc>
      </w:tr>
      <w:tr>
        <w:tc>
          <w:tcPr>
            <w:tcW w:type="dxa" w:w="2160"/>
          </w:tcPr>
          <w:p>
            <w:r>
              <w:t>2</w:t>
            </w:r>
          </w:p>
        </w:tc>
        <w:tc>
          <w:tcPr>
            <w:tcW w:type="dxa" w:w="2160"/>
          </w:tcPr>
          <w:p>
            <w:r>
              <w:t>暗标格式</w:t>
            </w:r>
          </w:p>
        </w:tc>
        <w:tc>
          <w:tcPr>
            <w:tcW w:type="dxa" w:w="2160"/>
          </w:tcPr>
          <w:p>
            <w:r>
              <w:t>逐项核对招标文件对字体、字号、行距、页边距、页眉页脚、页码、封面、目录和文件命名的要求。</w:t>
            </w:r>
          </w:p>
        </w:tc>
        <w:tc>
          <w:tcPr>
            <w:tcW w:type="dxa" w:w="2160"/>
          </w:tcPr>
          <w:p>
            <w:r>
              <w:t>□通过  □需修改  □不适用</w:t>
            </w:r>
          </w:p>
        </w:tc>
      </w:tr>
      <w:tr>
        <w:tc>
          <w:tcPr>
            <w:tcW w:type="dxa" w:w="2160"/>
          </w:tcPr>
          <w:p>
            <w:r>
              <w:t>3</w:t>
            </w:r>
          </w:p>
        </w:tc>
        <w:tc>
          <w:tcPr>
            <w:tcW w:type="dxa" w:w="2160"/>
          </w:tcPr>
          <w:p>
            <w:r>
              <w:t>暗标识别风险</w:t>
            </w:r>
          </w:p>
        </w:tc>
        <w:tc>
          <w:tcPr>
            <w:tcW w:type="dxa" w:w="2160"/>
          </w:tcPr>
          <w:p>
            <w:r>
              <w:t>全文搜索公司名称、人员姓名、企业标识、历史项目名称、联系方式、二维码、图片水印、文件属性作者等可识别信息。</w:t>
            </w:r>
          </w:p>
        </w:tc>
        <w:tc>
          <w:tcPr>
            <w:tcW w:type="dxa" w:w="2160"/>
          </w:tcPr>
          <w:p>
            <w:r>
              <w:t>□通过  □需修改  □不适用</w:t>
            </w:r>
          </w:p>
        </w:tc>
      </w:tr>
      <w:tr>
        <w:tc>
          <w:tcPr>
            <w:tcW w:type="dxa" w:w="2160"/>
          </w:tcPr>
          <w:p>
            <w:r>
              <w:t>4</w:t>
            </w:r>
          </w:p>
        </w:tc>
        <w:tc>
          <w:tcPr>
            <w:tcW w:type="dxa" w:w="2160"/>
          </w:tcPr>
          <w:p>
            <w:r>
              <w:t>图纸一致性</w:t>
            </w:r>
          </w:p>
        </w:tc>
        <w:tc>
          <w:tcPr>
            <w:tcW w:type="dxa" w:w="2160"/>
          </w:tcPr>
          <w:p>
            <w:r>
              <w:t>核对图纸、清单、答疑澄清是否为最新版本；DWG图纸如未深度解析，应由技术人员结合PDF或CAD人工复核。</w:t>
            </w:r>
          </w:p>
        </w:tc>
        <w:tc>
          <w:tcPr>
            <w:tcW w:type="dxa" w:w="2160"/>
          </w:tcPr>
          <w:p>
            <w:r>
              <w:t>□通过  □需修改  □不适用</w:t>
            </w:r>
          </w:p>
        </w:tc>
      </w:tr>
      <w:tr>
        <w:tc>
          <w:tcPr>
            <w:tcW w:type="dxa" w:w="2160"/>
          </w:tcPr>
          <w:p>
            <w:r>
              <w:t>5</w:t>
            </w:r>
          </w:p>
        </w:tc>
        <w:tc>
          <w:tcPr>
            <w:tcW w:type="dxa" w:w="2160"/>
          </w:tcPr>
          <w:p>
            <w:r>
              <w:t>工程量与资源配置</w:t>
            </w:r>
          </w:p>
        </w:tc>
        <w:tc>
          <w:tcPr>
            <w:tcW w:type="dxa" w:w="2160"/>
          </w:tcPr>
          <w:p>
            <w:r>
              <w:t>核对主要工程量、机械、劳动力、材料进场计划、网络计划与清单和施工条件是否匹配。</w:t>
            </w:r>
          </w:p>
        </w:tc>
        <w:tc>
          <w:tcPr>
            <w:tcW w:type="dxa" w:w="2160"/>
          </w:tcPr>
          <w:p>
            <w:r>
              <w:t>□通过  □需修改  □不适用</w:t>
            </w:r>
          </w:p>
        </w:tc>
      </w:tr>
      <w:tr>
        <w:tc>
          <w:tcPr>
            <w:tcW w:type="dxa" w:w="2160"/>
          </w:tcPr>
          <w:p>
            <w:r>
              <w:t>6</w:t>
            </w:r>
          </w:p>
        </w:tc>
        <w:tc>
          <w:tcPr>
            <w:tcW w:type="dxa" w:w="2160"/>
          </w:tcPr>
          <w:p>
            <w:r>
              <w:t>专项方案完整性</w:t>
            </w:r>
          </w:p>
        </w:tc>
        <w:tc>
          <w:tcPr>
            <w:tcW w:type="dxa" w:w="2160"/>
          </w:tcPr>
          <w:p>
            <w:r>
              <w:t>核对危大工程、临水临电、交通组织、消防、环保、极端天气、应急预案是否符合项目实际。</w:t>
            </w:r>
          </w:p>
        </w:tc>
        <w:tc>
          <w:tcPr>
            <w:tcW w:type="dxa" w:w="2160"/>
          </w:tcPr>
          <w:p>
            <w:r>
              <w:t>□通过  □需修改  □不适用</w:t>
            </w:r>
          </w:p>
        </w:tc>
      </w:tr>
      <w:tr>
        <w:tc>
          <w:tcPr>
            <w:tcW w:type="dxa" w:w="2160"/>
          </w:tcPr>
          <w:p>
            <w:r>
              <w:t>7</w:t>
            </w:r>
          </w:p>
        </w:tc>
        <w:tc>
          <w:tcPr>
            <w:tcW w:type="dxa" w:w="2160"/>
          </w:tcPr>
          <w:p>
            <w:r>
              <w:t>招标响应</w:t>
            </w:r>
          </w:p>
        </w:tc>
        <w:tc>
          <w:tcPr>
            <w:tcW w:type="dxa" w:w="2160"/>
          </w:tcPr>
          <w:p>
            <w:r>
              <w:t>核对评分办法、强制响应条款、工期、质量、安全文明、保修、资料归档、竣工验收要求是否全覆盖。</w:t>
            </w:r>
          </w:p>
        </w:tc>
        <w:tc>
          <w:tcPr>
            <w:tcW w:type="dxa" w:w="2160"/>
          </w:tcPr>
          <w:p>
            <w:r>
              <w:t>□通过  □需修改  □不适用</w:t>
            </w:r>
          </w:p>
        </w:tc>
      </w:tr>
    </w:tbl>
    <w:p>
      <w:pPr>
        <w:pStyle w:val="Heading1"/>
      </w:pPr>
      <w:r>
        <w:t>二、本项目专项复核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序号</w:t>
            </w:r>
          </w:p>
        </w:tc>
        <w:tc>
          <w:tcPr>
            <w:tcW w:type="dxa" w:w="2160"/>
          </w:tcPr>
          <w:p>
            <w:r>
              <w:t>专项位置</w:t>
            </w:r>
          </w:p>
        </w:tc>
        <w:tc>
          <w:tcPr>
            <w:tcW w:type="dxa" w:w="2160"/>
          </w:tcPr>
          <w:p>
            <w:r>
              <w:t>必须人工核对内容</w:t>
            </w:r>
          </w:p>
        </w:tc>
        <w:tc>
          <w:tcPr>
            <w:tcW w:type="dxa" w:w="2160"/>
          </w:tcPr>
          <w:p>
            <w:r>
              <w:t>确认记录</w:t>
            </w:r>
          </w:p>
        </w:tc>
      </w:tr>
      <w:tr>
        <w:tc>
          <w:tcPr>
            <w:tcW w:type="dxa" w:w="2160"/>
          </w:tcPr>
          <w:p>
            <w:r>
              <w:t>1</w:t>
            </w:r>
          </w:p>
        </w:tc>
        <w:tc>
          <w:tcPr>
            <w:tcW w:type="dxa" w:w="2160"/>
          </w:tcPr>
          <w:p>
            <w:r>
              <w:t>衡山供水管网</w:t>
            </w:r>
          </w:p>
        </w:tc>
        <w:tc>
          <w:tcPr>
            <w:tcW w:type="dxa" w:w="2160"/>
          </w:tcPr>
          <w:p>
            <w:r>
              <w:t>核对供水主管网长度、各管径（如DN150、DN110、DN63等）、管材、接口方式和阀门水表数量是否与图纸、清单一致。</w:t>
            </w:r>
          </w:p>
        </w:tc>
        <w:tc>
          <w:tcPr>
            <w:tcW w:type="dxa" w:w="2160"/>
          </w:tcPr>
          <w:p>
            <w:r>
              <w:t>□已核对  □需补图纸/清单  □需调整正文</w:t>
            </w:r>
          </w:p>
        </w:tc>
      </w:tr>
      <w:tr>
        <w:tc>
          <w:tcPr>
            <w:tcW w:type="dxa" w:w="2160"/>
          </w:tcPr>
          <w:p>
            <w:r>
              <w:t>2</w:t>
            </w:r>
          </w:p>
        </w:tc>
        <w:tc>
          <w:tcPr>
            <w:tcW w:type="dxa" w:w="2160"/>
          </w:tcPr>
          <w:p>
            <w:r>
              <w:t>衡山供水管网</w:t>
            </w:r>
          </w:p>
        </w:tc>
        <w:tc>
          <w:tcPr>
            <w:tcW w:type="dxa" w:w="2160"/>
          </w:tcPr>
          <w:p>
            <w:r>
              <w:t>核对沟槽开挖深度、放坡或支护方式、地下管线保护、道路破除和恢复范围是否有图纸或现场踏勘依据。</w:t>
            </w:r>
          </w:p>
        </w:tc>
        <w:tc>
          <w:tcPr>
            <w:tcW w:type="dxa" w:w="2160"/>
          </w:tcPr>
          <w:p>
            <w:r>
              <w:t>□已核对  □需补图纸/清单  □需调整正文</w:t>
            </w:r>
          </w:p>
        </w:tc>
      </w:tr>
      <w:tr>
        <w:tc>
          <w:tcPr>
            <w:tcW w:type="dxa" w:w="2160"/>
          </w:tcPr>
          <w:p>
            <w:r>
              <w:t>3</w:t>
            </w:r>
          </w:p>
        </w:tc>
        <w:tc>
          <w:tcPr>
            <w:tcW w:type="dxa" w:w="2160"/>
          </w:tcPr>
          <w:p>
            <w:r>
              <w:t>衡山供水管网</w:t>
            </w:r>
          </w:p>
        </w:tc>
        <w:tc>
          <w:tcPr>
            <w:tcW w:type="dxa" w:w="2160"/>
          </w:tcPr>
          <w:p>
            <w:r>
              <w:t>核对PE管热熔/电熔焊接、试压、冲洗消毒、并网切换和停水通知流程是否符合招标文件及当地供水管理要求。</w:t>
            </w:r>
          </w:p>
        </w:tc>
        <w:tc>
          <w:tcPr>
            <w:tcW w:type="dxa" w:w="2160"/>
          </w:tcPr>
          <w:p>
            <w:r>
              <w:t>□已核对  □需补图纸/清单  □需调整正文</w:t>
            </w:r>
          </w:p>
        </w:tc>
      </w:tr>
      <w:tr>
        <w:tc>
          <w:tcPr>
            <w:tcW w:type="dxa" w:w="2160"/>
          </w:tcPr>
          <w:p>
            <w:r>
              <w:t>4</w:t>
            </w:r>
          </w:p>
        </w:tc>
        <w:tc>
          <w:tcPr>
            <w:tcW w:type="dxa" w:w="2160"/>
          </w:tcPr>
          <w:p>
            <w:r>
              <w:t>衡山供水管网</w:t>
            </w:r>
          </w:p>
        </w:tc>
        <w:tc>
          <w:tcPr>
            <w:tcW w:type="dxa" w:w="2160"/>
          </w:tcPr>
          <w:p>
            <w:r>
              <w:t>核对DMA分区计量、智慧水务设备、二次供水泵房安装调试范围是否与清单和图纸一致。</w:t>
            </w:r>
          </w:p>
        </w:tc>
        <w:tc>
          <w:tcPr>
            <w:tcW w:type="dxa" w:w="2160"/>
          </w:tcPr>
          <w:p>
            <w:r>
              <w:t>□已核对  □需补图纸/清单  □需调整正文</w:t>
            </w:r>
          </w:p>
        </w:tc>
      </w:tr>
      <w:tr>
        <w:tc>
          <w:tcPr>
            <w:tcW w:type="dxa" w:w="2160"/>
          </w:tcPr>
          <w:p>
            <w:r>
              <w:t>5</w:t>
            </w:r>
          </w:p>
        </w:tc>
        <w:tc>
          <w:tcPr>
            <w:tcW w:type="dxa" w:w="2160"/>
          </w:tcPr>
          <w:p>
            <w:r>
              <w:t>衡山供水管网</w:t>
            </w:r>
          </w:p>
        </w:tc>
        <w:tc>
          <w:tcPr>
            <w:tcW w:type="dxa" w:w="2160"/>
          </w:tcPr>
          <w:p>
            <w:r>
              <w:t>核对交通导改、夜间施工、居民用水保障、临时供水、弃土外运和道路恢复工期是否需要专项补充。</w:t>
            </w:r>
          </w:p>
        </w:tc>
        <w:tc>
          <w:tcPr>
            <w:tcW w:type="dxa" w:w="2160"/>
          </w:tcPr>
          <w:p>
            <w:r>
              <w:t>□已核对  □需补图纸/清单  □需调整正文</w:t>
            </w:r>
          </w:p>
        </w:tc>
      </w:tr>
    </w:tbl>
    <w:p>
      <w:pPr>
        <w:pStyle w:val="Heading1"/>
      </w:pPr>
      <w:r>
        <w:t>三、提交前签字确认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技术负责人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>
              <w:t>日期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造价/清单复核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>
              <w:t>日期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投标负责人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>
              <w:t>日期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最终结论</w:t>
            </w:r>
          </w:p>
        </w:tc>
        <w:tc>
          <w:tcPr>
            <w:tcW w:type="dxa" w:w="2160"/>
          </w:tcPr>
          <w:p>
            <w:r>
              <w:t>□可提交  □修改后提交  □暂缓提交</w:t>
            </w:r>
          </w:p>
        </w:tc>
        <w:tc>
          <w:tcPr>
            <w:tcW w:type="dxa" w:w="2160"/>
          </w:tcPr>
          <w:p>
            <w:r>
              <w:t>备注</w:t>
            </w:r>
          </w:p>
        </w:tc>
        <w:tc>
          <w:tcPr>
            <w:tcW w:type="dxa" w:w="2160"/>
          </w:tcPr>
          <w:p>
            <w:r/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