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8"/>
        </w:rPr>
        <w:t>施工组织设计（技术标工作稿）</w:t>
      </w:r>
    </w:p>
    <w:p>
      <w:pPr>
        <w:jc w:val="center"/>
      </w:pPr>
      <w:r>
        <w:rPr>
          <w:b/>
        </w:rPr>
        <w:t>隆回县城东学校食堂和学生宿舍工程建设项目</w:t>
      </w:r>
    </w:p>
    <w:p>
      <w:r>
        <w:t>说明：本文件由第一阶段智能体工作流生成，提交前须由项目负责人结合招标文件原文、现场踏勘和企业资源进行人工审核。</w:t>
      </w:r>
    </w:p>
    <w:p>
      <w:r>
        <w:br w:type="page"/>
      </w:r>
    </w:p>
    <w:p>
      <w:pPr>
        <w:pStyle w:val="Heading1"/>
      </w:pPr>
      <w:r>
        <w:t>编制依据与总体策划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r>
              <w:t>项目要素</w:t>
            </w:r>
          </w:p>
        </w:tc>
        <w:tc>
          <w:tcPr>
            <w:tcW w:type="dxa" w:w="4702"/>
          </w:tcPr>
          <w:p>
            <w:r>
              <w:t>识别结果</w:t>
            </w:r>
          </w:p>
        </w:tc>
      </w:tr>
      <w:tr>
        <w:tc>
          <w:tcPr>
            <w:tcW w:type="dxa" w:w="4702"/>
          </w:tcPr>
          <w:p>
            <w:r>
              <w:t>项目名称</w:t>
            </w:r>
          </w:p>
        </w:tc>
        <w:tc>
          <w:tcPr>
            <w:tcW w:type="dxa" w:w="4702"/>
          </w:tcPr>
          <w:p>
            <w:r>
              <w:t>隆回县城东学校食堂和学生宿舍工程建设项目</w:t>
            </w:r>
          </w:p>
        </w:tc>
      </w:tr>
      <w:tr>
        <w:tc>
          <w:tcPr>
            <w:tcW w:type="dxa" w:w="4702"/>
          </w:tcPr>
          <w:p>
            <w:r>
              <w:t>工程类型</w:t>
            </w:r>
          </w:p>
        </w:tc>
        <w:tc>
          <w:tcPr>
            <w:tcW w:type="dxa" w:w="4702"/>
          </w:tcPr>
          <w:p>
            <w:r>
              <w:t>房屋建筑工程</w:t>
            </w:r>
          </w:p>
        </w:tc>
      </w:tr>
      <w:tr>
        <w:tc>
          <w:tcPr>
            <w:tcW w:type="dxa" w:w="4702"/>
          </w:tcPr>
          <w:p>
            <w:r>
              <w:t>建设地点</w:t>
            </w:r>
          </w:p>
        </w:tc>
        <w:tc>
          <w:tcPr>
            <w:tcW w:type="dxa" w:w="4702"/>
          </w:tcPr>
          <w:p>
            <w:r>
              <w:t>隆回县桃花坪街道城东学校内</w:t>
            </w:r>
          </w:p>
        </w:tc>
      </w:tr>
      <w:tr>
        <w:tc>
          <w:tcPr>
            <w:tcW w:type="dxa" w:w="4702"/>
          </w:tcPr>
          <w:p>
            <w:r>
              <w:t>技术标要求</w:t>
            </w:r>
          </w:p>
        </w:tc>
        <w:tc>
          <w:tcPr>
            <w:tcW w:type="dxa" w:w="4702"/>
          </w:tcPr>
          <w:p>
            <w:r>
              <w:t>暗标</w:t>
            </w:r>
          </w:p>
        </w:tc>
      </w:tr>
      <w:tr>
        <w:tc>
          <w:tcPr>
            <w:tcW w:type="dxa" w:w="4702"/>
          </w:tcPr>
          <w:p>
            <w:r>
              <w:t>技术标目标页数</w:t>
            </w:r>
          </w:p>
        </w:tc>
        <w:tc>
          <w:tcPr>
            <w:tcW w:type="dxa" w:w="4702"/>
          </w:tcPr>
          <w:p>
            <w:r>
              <w:t>未设定</w:t>
            </w:r>
          </w:p>
        </w:tc>
      </w:tr>
      <w:tr>
        <w:tc>
          <w:tcPr>
            <w:tcW w:type="dxa" w:w="4702"/>
          </w:tcPr>
          <w:p>
            <w:r>
              <w:t>格式/暗标要求</w:t>
            </w:r>
          </w:p>
        </w:tc>
        <w:tc>
          <w:tcPr>
            <w:tcW w:type="dxa" w:w="4702"/>
          </w:tcPr>
          <w:p>
            <w:r>
              <w:t>以招标文件原文复核为准</w:t>
            </w:r>
          </w:p>
        </w:tc>
      </w:tr>
      <w:tr>
        <w:tc>
          <w:tcPr>
            <w:tcW w:type="dxa" w:w="4702"/>
          </w:tcPr>
          <w:p>
            <w:r>
              <w:t>评分重点</w:t>
            </w:r>
          </w:p>
        </w:tc>
        <w:tc>
          <w:tcPr>
            <w:tcW w:type="dxa" w:w="4702"/>
          </w:tcPr>
          <w:p>
            <w:r>
              <w:t>按评分响应矩阵逐项覆盖</w:t>
            </w:r>
          </w:p>
        </w:tc>
      </w:tr>
      <w:tr>
        <w:tc>
          <w:tcPr>
            <w:tcW w:type="dxa" w:w="4702"/>
          </w:tcPr>
          <w:p>
            <w:r>
              <w:t>现场约束</w:t>
            </w:r>
          </w:p>
        </w:tc>
        <w:tc>
          <w:tcPr>
            <w:tcW w:type="dxa" w:w="4702"/>
          </w:tcPr>
          <w:p>
            <w:r>
              <w:t>以现场踏勘、图纸和答疑资料复核为准</w:t>
            </w:r>
          </w:p>
        </w:tc>
      </w:tr>
      <w:tr>
        <w:tc>
          <w:tcPr>
            <w:tcW w:type="dxa" w:w="4702"/>
          </w:tcPr>
          <w:p>
            <w:r>
              <w:t>专项深化</w:t>
            </w:r>
          </w:p>
        </w:tc>
        <w:tc>
          <w:tcPr>
            <w:tcW w:type="dxa" w:w="4702"/>
          </w:tcPr>
          <w:p>
            <w:r>
              <w:t>按工程特点及招标要求深化</w:t>
            </w:r>
          </w:p>
        </w:tc>
      </w:tr>
      <w:tr>
        <w:tc>
          <w:tcPr>
            <w:tcW w:type="dxa" w:w="4702"/>
          </w:tcPr>
          <w:p>
            <w:r>
              <w:t>本次生成要求</w:t>
            </w:r>
          </w:p>
        </w:tc>
        <w:tc>
          <w:tcPr>
            <w:tcW w:type="dxa" w:w="4702"/>
          </w:tcPr>
          <w:p>
            <w:r/>
          </w:p>
        </w:tc>
      </w:tr>
      <w:tr>
        <w:tc>
          <w:tcPr>
            <w:tcW w:type="dxa" w:w="4702"/>
          </w:tcPr>
          <w:p>
            <w:r>
              <w:t>资料完整性</w:t>
            </w:r>
          </w:p>
        </w:tc>
        <w:tc>
          <w:tcPr>
            <w:tcW w:type="dxa" w:w="4702"/>
          </w:tcPr>
          <w:p>
            <w:r>
              <w:t>核心资料已上传</w:t>
            </w:r>
          </w:p>
        </w:tc>
      </w:tr>
    </w:tbl>
    <w:p>
      <w:r>
        <w:t>总体原则：逐条响应评分标准，以清单确定工程内容，以图纸识别施工重点，以现场资料校核总平面和资源组织；对资料未明确事项采用复核、深化和报审机制，不作无依据承诺。</w:t>
      </w:r>
    </w:p>
    <w:p>
      <w:pPr>
        <w:pStyle w:val="Heading2"/>
      </w:pPr>
      <w:r>
        <w:t>投标风险与编制控制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135"/>
        <w:gridCol w:w="3135"/>
        <w:gridCol w:w="3135"/>
      </w:tblGrid>
      <w:tr>
        <w:tc>
          <w:tcPr>
            <w:tcW w:type="dxa" w:w="3135"/>
          </w:tcPr>
          <w:p>
            <w:r>
              <w:t>风险等级</w:t>
            </w:r>
          </w:p>
        </w:tc>
        <w:tc>
          <w:tcPr>
            <w:tcW w:type="dxa" w:w="3135"/>
          </w:tcPr>
          <w:p>
            <w:r>
              <w:t>风险点</w:t>
            </w:r>
          </w:p>
        </w:tc>
        <w:tc>
          <w:tcPr>
            <w:tcW w:type="dxa" w:w="3135"/>
          </w:tcPr>
          <w:p>
            <w:r>
              <w:t>控制要求</w:t>
            </w:r>
          </w:p>
        </w:tc>
      </w:tr>
      <w:tr>
        <w:tc>
          <w:tcPr>
            <w:tcW w:type="dxa" w:w="3135"/>
          </w:tcPr>
          <w:p>
            <w:r>
              <w:t>高</w:t>
            </w:r>
          </w:p>
        </w:tc>
        <w:tc>
          <w:tcPr>
            <w:tcW w:type="dxa" w:w="3135"/>
          </w:tcPr>
          <w:p>
            <w:r>
              <w:t>暗标合规风险</w:t>
            </w:r>
          </w:p>
        </w:tc>
        <w:tc>
          <w:tcPr>
            <w:tcW w:type="dxa" w:w="3135"/>
          </w:tcPr>
          <w:p>
            <w:r>
              <w:t>招标文件可能对字体、字号、页眉页脚、标识信息作限制，提交前必须逐项复核。</w:t>
            </w:r>
          </w:p>
        </w:tc>
      </w:tr>
      <w:tr>
        <w:tc>
          <w:tcPr>
            <w:tcW w:type="dxa" w:w="3135"/>
          </w:tcPr>
          <w:p>
            <w:r>
              <w:t>高</w:t>
            </w:r>
          </w:p>
        </w:tc>
        <w:tc>
          <w:tcPr>
            <w:tcW w:type="dxa" w:w="3135"/>
          </w:tcPr>
          <w:p>
            <w:r>
              <w:t>评分点遗漏风险</w:t>
            </w:r>
          </w:p>
        </w:tc>
        <w:tc>
          <w:tcPr>
            <w:tcW w:type="dxa" w:w="3135"/>
          </w:tcPr>
          <w:p>
            <w:r>
              <w:t>技术标目录及正文必须逐条映射评分标准，避免有内容但评委无法快速定位。</w:t>
            </w:r>
          </w:p>
        </w:tc>
      </w:tr>
      <w:tr>
        <w:tc>
          <w:tcPr>
            <w:tcW w:type="dxa" w:w="3135"/>
          </w:tcPr>
          <w:p>
            <w:r>
              <w:t>高</w:t>
            </w:r>
          </w:p>
        </w:tc>
        <w:tc>
          <w:tcPr>
            <w:tcW w:type="dxa" w:w="3135"/>
          </w:tcPr>
          <w:p>
            <w:r>
              <w:t>清单与方案脱节风险</w:t>
            </w:r>
          </w:p>
        </w:tc>
        <w:tc>
          <w:tcPr>
            <w:tcW w:type="dxa" w:w="3135"/>
          </w:tcPr>
          <w:p>
            <w:r>
              <w:t>施工方法、资源计划和进度安排应覆盖工程量清单中的主要分部分项。</w:t>
            </w:r>
          </w:p>
        </w:tc>
      </w:tr>
      <w:tr>
        <w:tc>
          <w:tcPr>
            <w:tcW w:type="dxa" w:w="3135"/>
          </w:tcPr>
          <w:p>
            <w:r>
              <w:t>高</w:t>
            </w:r>
          </w:p>
        </w:tc>
        <w:tc>
          <w:tcPr>
            <w:tcW w:type="dxa" w:w="3135"/>
          </w:tcPr>
          <w:p>
            <w:r>
              <w:t>图纸信息遗漏风险</w:t>
            </w:r>
          </w:p>
        </w:tc>
        <w:tc>
          <w:tcPr>
            <w:tcW w:type="dxa" w:w="3135"/>
          </w:tcPr>
          <w:p>
            <w:r>
              <w:t>应结合建筑、结构、安装及总图专业识别关键工序、交叉作业和专项方案。</w:t>
            </w:r>
          </w:p>
        </w:tc>
      </w:tr>
      <w:tr>
        <w:tc>
          <w:tcPr>
            <w:tcW w:type="dxa" w:w="3135"/>
          </w:tcPr>
          <w:p>
            <w:r>
              <w:t>中</w:t>
            </w:r>
          </w:p>
        </w:tc>
        <w:tc>
          <w:tcPr>
            <w:tcW w:type="dxa" w:w="3135"/>
          </w:tcPr>
          <w:p>
            <w:r>
              <w:t>工期承诺风险</w:t>
            </w:r>
          </w:p>
        </w:tc>
        <w:tc>
          <w:tcPr>
            <w:tcW w:type="dxa" w:w="3135"/>
          </w:tcPr>
          <w:p>
            <w:r>
              <w:t>总工期、节点工期和资源峰值必须互相校核，不能只作原则性承诺。</w:t>
            </w:r>
          </w:p>
        </w:tc>
      </w:tr>
      <w:tr>
        <w:tc>
          <w:tcPr>
            <w:tcW w:type="dxa" w:w="3135"/>
          </w:tcPr>
          <w:p>
            <w:r>
              <w:t>中</w:t>
            </w:r>
          </w:p>
        </w:tc>
        <w:tc>
          <w:tcPr>
            <w:tcW w:type="dxa" w:w="3135"/>
          </w:tcPr>
          <w:p>
            <w:r>
              <w:t>危大工程风险</w:t>
            </w:r>
          </w:p>
        </w:tc>
        <w:tc>
          <w:tcPr>
            <w:tcW w:type="dxa" w:w="3135"/>
          </w:tcPr>
          <w:p>
            <w:r>
              <w:t>涉及危大工程的内容须识别、分类，并明确专项方案编审及验收要求。</w:t>
            </w:r>
          </w:p>
        </w:tc>
      </w:tr>
      <w:tr>
        <w:tc>
          <w:tcPr>
            <w:tcW w:type="dxa" w:w="3135"/>
          </w:tcPr>
          <w:p>
            <w:r>
              <w:t>中</w:t>
            </w:r>
          </w:p>
        </w:tc>
        <w:tc>
          <w:tcPr>
            <w:tcW w:type="dxa" w:w="3135"/>
          </w:tcPr>
          <w:p>
            <w:r>
              <w:t>现场条件假设风险</w:t>
            </w:r>
          </w:p>
        </w:tc>
        <w:tc>
          <w:tcPr>
            <w:tcW w:type="dxa" w:w="3135"/>
          </w:tcPr>
          <w:p>
            <w:r>
              <w:t>无现场照片或踏勘记录时，不应对场地、道路、临水临电条件作确定性描述。</w:t>
            </w:r>
          </w:p>
        </w:tc>
      </w:tr>
      <w:tr>
        <w:tc>
          <w:tcPr>
            <w:tcW w:type="dxa" w:w="3135"/>
          </w:tcPr>
          <w:p>
            <w:r>
              <w:t>中</w:t>
            </w:r>
          </w:p>
        </w:tc>
        <w:tc>
          <w:tcPr>
            <w:tcW w:type="dxa" w:w="3135"/>
          </w:tcPr>
          <w:p>
            <w:r>
              <w:t>技术参数编造风险</w:t>
            </w:r>
          </w:p>
        </w:tc>
        <w:tc>
          <w:tcPr>
            <w:tcW w:type="dxa" w:w="3135"/>
          </w:tcPr>
          <w:p>
            <w:r>
              <w:t>缺少设计参数时应写明复核和深化机制，禁止虚构结构尺寸或设备参数。</w:t>
            </w:r>
          </w:p>
        </w:tc>
      </w:tr>
    </w:tbl>
    <w:p>
      <w:pPr>
        <w:pStyle w:val="Heading2"/>
      </w:pPr>
      <w:r>
        <w:t>AI 深化编写要点</w:t>
      </w:r>
    </w:p>
    <w:p>
      <w:r>
        <w:t>本项目为学校校内食堂和学生宿舍房屋建筑工程，施工组织设计深化应围绕“暗标合规、评分点逐项响应、图纸清单一致、校园施工安全、食堂与宿舍功能质量控制、工期资源闭合”展开。编制时应以招标文件、施工图纸和工程量清单为主线，先建立评分响应目录，再按施工方案、质量、安全、环保、进度、资源六个章节形成可检查的闭环内容。所有工期、工程量、结构尺寸、设备规格、现场条件等均应以招标文件、图纸、清单及现场踏勘资料为准；资料未明确的，应表述为“进场后复核”“依据设计文件和监理审批意见实施”，不得自行编造具体参数。因本项目为暗标，应重点控制文本中不得出现投标人名称、人员姓名、类似业绩项目名称、企业标识、特定地域性无关信息等可能暴露身份的内容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702"/>
        <w:gridCol w:w="4702"/>
      </w:tblGrid>
      <w:tr>
        <w:tc>
          <w:tcPr>
            <w:tcW w:type="dxa" w:w="4702"/>
          </w:tcPr>
          <w:p>
            <w:r>
              <w:t>深化方向</w:t>
            </w:r>
          </w:p>
        </w:tc>
        <w:tc>
          <w:tcPr>
            <w:tcW w:type="dxa" w:w="4702"/>
          </w:tcPr>
          <w:p>
            <w:r>
              <w:t>写作要求</w:t>
            </w:r>
          </w:p>
        </w:tc>
      </w:tr>
      <w:tr>
        <w:tc>
          <w:tcPr>
            <w:tcW w:type="dxa" w:w="4702"/>
          </w:tcPr>
          <w:p>
            <w:r>
              <w:t>暗标合规控制</w:t>
            </w:r>
          </w:p>
        </w:tc>
        <w:tc>
          <w:tcPr>
            <w:tcW w:type="dxa" w:w="4702"/>
          </w:tcPr>
          <w:p>
            <w:r>
              <w:t>全文应采用中性表达，不出现投标单位名称、企业简称、人员姓名、证书编号、类似工程名称、企业专有管理口号、联系方式、页眉页脚标识等身份信息。提交前应按招标文件逐项核对字体、字号、行距、页码、封面、目录、图表格式、电子文件命名等要求，避免因形式问题扣分或废标。</w:t>
            </w:r>
          </w:p>
        </w:tc>
      </w:tr>
      <w:tr>
        <w:tc>
          <w:tcPr>
            <w:tcW w:type="dxa" w:w="4702"/>
          </w:tcPr>
          <w:p>
            <w:r>
              <w:t>评分点映射</w:t>
            </w:r>
          </w:p>
        </w:tc>
        <w:tc>
          <w:tcPr>
            <w:tcW w:type="dxa" w:w="4702"/>
          </w:tcPr>
          <w:p>
            <w:r>
              <w:t>建议在内部编制阶段建立“评分点—章节—页码—响应内容”检查表，正文目录应与评分项高度一致，至少覆盖施工方案与技术措施、质量管理体系与措施、安全管理体系与措施、环境保护管理体系与措施、工程进度计划与保证措施、资源配备计划六项内容，确保评审人员能够快速定位。</w:t>
            </w:r>
          </w:p>
        </w:tc>
      </w:tr>
      <w:tr>
        <w:tc>
          <w:tcPr>
            <w:tcW w:type="dxa" w:w="4702"/>
          </w:tcPr>
          <w:p>
            <w:r>
              <w:t>图纸与清单联动</w:t>
            </w:r>
          </w:p>
        </w:tc>
        <w:tc>
          <w:tcPr>
            <w:tcW w:type="dxa" w:w="4702"/>
          </w:tcPr>
          <w:p>
            <w:r>
              <w:t>施工方案不能只写通用流程，应结合食堂、宿舍的建筑功能和清单主要分部分项进行深化，覆盖测量放线、土方与基础、主体结构、砌体、屋面防水、装饰装修、给排水、电气、消防及室外配套等主要施工内容。清单中出现的主要工作内容，应在施工方法、质量控制、资源配置和进度计划中均有对应安排。</w:t>
            </w:r>
          </w:p>
        </w:tc>
      </w:tr>
      <w:tr>
        <w:tc>
          <w:tcPr>
            <w:tcW w:type="dxa" w:w="4702"/>
          </w:tcPr>
          <w:p>
            <w:r>
              <w:t>校园施工组织</w:t>
            </w:r>
          </w:p>
        </w:tc>
        <w:tc>
          <w:tcPr>
            <w:tcW w:type="dxa" w:w="4702"/>
          </w:tcPr>
          <w:p>
            <w:r>
              <w:t>项目位于学校内，深化时应突出校内施工的围挡封闭、人员车辆分流、材料运输时间管理、噪声扬尘控制、临边洞口防护、与学校日常管理协调、学生安全隔离等措施。若招标资料未明确学校是否正常使用，应避免作确定性描述，可写为“根据建设单位统一安排实施施工区域封闭及通行组织”。</w:t>
            </w:r>
          </w:p>
        </w:tc>
      </w:tr>
      <w:tr>
        <w:tc>
          <w:tcPr>
            <w:tcW w:type="dxa" w:w="4702"/>
          </w:tcPr>
          <w:p>
            <w:r>
              <w:t>食堂与宿舍功能重点</w:t>
            </w:r>
          </w:p>
        </w:tc>
        <w:tc>
          <w:tcPr>
            <w:tcW w:type="dxa" w:w="4702"/>
          </w:tcPr>
          <w:p>
            <w:r>
              <w:t>食堂部分应关注防水、防滑、给排水、排烟排风、设备基础及机电管线综合协调等功能性质量控制；宿舍部分应关注房间尺寸复核、卫生间及阳台防水、门窗安装、栏杆及临边防护、照明插座、给排水支管、成品保护等细部质量。具体材料做法和设备参数必须以设计图纸及清单为准。</w:t>
            </w:r>
          </w:p>
        </w:tc>
      </w:tr>
      <w:tr>
        <w:tc>
          <w:tcPr>
            <w:tcW w:type="dxa" w:w="4702"/>
          </w:tcPr>
          <w:p>
            <w:r>
              <w:t>危大工程识别</w:t>
            </w:r>
          </w:p>
        </w:tc>
        <w:tc>
          <w:tcPr>
            <w:tcW w:type="dxa" w:w="4702"/>
          </w:tcPr>
          <w:p>
            <w:r>
              <w:t>应根据图纸和施工组织条件识别可能涉及的危大工程，如基坑、模板支撑体系、脚手架、起重吊装、施工升降或垂直运输设备安拆等。未掌握具体规模参数时，不应直接判定等级，应写明“按住建主管部门危大工程管理规定进行识别，达到条件的编制专项施工方案并履行审批、论证、交底、验收程序”。</w:t>
            </w:r>
          </w:p>
        </w:tc>
      </w:tr>
      <w:tr>
        <w:tc>
          <w:tcPr>
            <w:tcW w:type="dxa" w:w="4702"/>
          </w:tcPr>
          <w:p>
            <w:r>
              <w:t>工期资源闭合</w:t>
            </w:r>
          </w:p>
        </w:tc>
        <w:tc>
          <w:tcPr>
            <w:tcW w:type="dxa" w:w="4702"/>
          </w:tcPr>
          <w:p>
            <w:r>
              <w:t>进度计划应按准备阶段、基础阶段、主体结构阶段、砌体及二次结构阶段、屋面及防水阶段、装饰装修阶段、安装工程阶段、室外及收尾验收阶段组织。即使招标摘要未给出具体工期，也应说明以招标文件工期要求为总控目标，并通过劳动力、机械、材料供应计划与节点计划相互校核。</w:t>
            </w:r>
          </w:p>
        </w:tc>
      </w:tr>
    </w:tbl>
    <w:p>
      <w:pPr>
        <w:sectPr>
          <w:pgSz w:w="12240" w:h="15840"/>
          <w:pgMar w:top="1417" w:right="1361" w:bottom="1417" w:left="1474" w:header="720" w:footer="720" w:gutter="0"/>
          <w:cols w:space="720"/>
          <w:docGrid w:linePitch="360"/>
        </w:sectPr>
      </w:pPr>
    </w:p>
    <w:p>
      <w:pPr>
        <w:pStyle w:val="Heading1"/>
      </w:pPr>
      <w:r>
        <w:t>第1章 施工方案与技术措施</w:t>
      </w:r>
    </w:p>
    <w:p>
      <w:r>
        <w:t>AI 深化提示：建议按“工程理解—施工部署—施工流程—主要分部分项施工方法—专业交叉协调—专项方案管理—成品保护”展开。重点写清食堂和宿舍可按单体、楼层或施工区域组织流水施工，具体流水段划分以图纸轴线、结构分区及现场条件复核后确定。主要施工方法应覆盖测量放线、土方与基础、主体结构、钢筋、模板、混凝土、砌体、脚手架、屋面、防水、门窗、装饰装修、给排水、电气、消防及室外工程等内容。对缺少设计参数的部位，仅写施工控制原则、工序流程、验收程序和复核机制，不编造尺寸、强度等级或设备规格。</w:t>
      </w:r>
    </w:p>
    <w:p>
      <w:pPr>
        <w:pStyle w:val="Heading2"/>
      </w:pPr>
      <w:r>
        <w:t>施工部署</w:t>
      </w:r>
    </w:p>
    <w:p>
      <w:r>
        <w:t>按照先地下后地上、先主体后围护、土建与安装穿插、室外工程适时插入的原则组织流水施工。施工前完成图纸会审、技术交底、样板确认及测量控制网复核。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测量与复核</w:t>
      </w:r>
    </w:p>
    <w:p>
      <w:r>
        <w:t>建立平面与高程控制体系，实施首件复核、过程复测和竣工复核；关键轴线、标高、垂直度形成可追溯记录。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主要工序</w:t>
      </w:r>
    </w:p>
    <w:p>
      <w:r>
        <w:t>各分部分项施工均执行施工准备、条件验收、样板引路、过程检查、隐蔽验收、成品保护和资料归档闭环。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极端场景</w:t>
      </w:r>
    </w:p>
    <w:p>
      <w:r>
        <w:t>针对连续强降雨、极端高温、寒潮、停水停电、材料供应中断、重大活动及突发公共事件建立分级响应、资源替代和复工验收机制。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sectPr>
          <w:pgSz w:w="12240" w:h="15840"/>
          <w:pgMar w:top="1417" w:right="1361" w:bottom="1417" w:left="1474" w:header="720" w:footer="720" w:gutter="0"/>
          <w:cols w:space="720"/>
          <w:docGrid w:linePitch="360"/>
        </w:sectPr>
      </w:pPr>
    </w:p>
    <w:p>
      <w:pPr>
        <w:pStyle w:val="Heading1"/>
      </w:pPr>
      <w:r>
        <w:t>第2章 质量管理体系与措施</w:t>
      </w:r>
    </w:p>
    <w:p>
      <w:r>
        <w:t>AI 深化提示：建议建立“质量目标—组织体系—过程控制—材料设备控制—工序验收—实测实量—质量通病防治—资料管理”结构。结合本项目深化防水渗漏、混凝土观感、砌体裂缝、抹灰空鼓、门窗渗漏、地面空鼓开裂、管道渗漏、电气接线质量、食堂区域排水坡度和宿舍卫生间闭水试验等控制点。质量措施应体现图纸会审、技术交底、样板引路、材料进场验收、见证取样、隐蔽验收、检验批验收、分项分部验收及整改闭合流程。</w:t>
      </w:r>
    </w:p>
    <w:p>
      <w:pPr>
        <w:pStyle w:val="Heading2"/>
      </w:pPr>
      <w:r>
        <w:t>质量目标分解</w:t>
      </w:r>
    </w:p>
    <w:p>
      <w:r>
        <w:t>将质量目标分解到单位工程、分部工程、分项工程、检验批和关键工序，明确责任人、检查频次、验收标准和留痕资料。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实测实量</w:t>
      </w:r>
    </w:p>
    <w:p>
      <w:r>
        <w:t>对结构尺寸、垂直度、平整度、安装标高及功能性试验实施实测实量，异常数据触发整改、复验和原因分析。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材料设备</w:t>
      </w:r>
    </w:p>
    <w:p>
      <w:r>
        <w:t>执行样品确认、进场验收、见证取样、复试检测和使用追溯制度，未经检验或检验不合格材料不得投入使用。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sectPr>
          <w:pgSz w:w="12240" w:h="15840"/>
          <w:pgMar w:top="1417" w:right="1361" w:bottom="1417" w:left="1474" w:header="720" w:footer="720" w:gutter="0"/>
          <w:cols w:space="720"/>
          <w:docGrid w:linePitch="360"/>
        </w:sectPr>
      </w:pPr>
    </w:p>
    <w:p>
      <w:pPr>
        <w:pStyle w:val="Heading1"/>
      </w:pPr>
      <w:r>
        <w:t>第3章 安全管理体系与措施</w:t>
      </w:r>
    </w:p>
    <w:p>
      <w:r>
        <w:t>AI 深化提示：建议突出校园内施工安全和房建常规高风险作业控制。章节可按“安全管理目标—组织责任—安全教育—现场封闭管理—临边洞口防护—脚手架及高处作业—临时用电—机械设备—消防管理—应急管理”展开。对学校内施工，应写明施工区与教学生活区隔离、施工车辆限速和专人指挥、材料堆场封闭、出入口管理、非施工人员禁入、夜间及考试等敏感时段施工协调等措施。涉及危大工程时，应强调专项方案编制、审批、论证、交底、验收和过程监测。</w:t>
      </w:r>
    </w:p>
    <w:p>
      <w:pPr>
        <w:pStyle w:val="Heading2"/>
      </w:pPr>
      <w:r>
        <w:t>安全责任体系</w:t>
      </w:r>
    </w:p>
    <w:p>
      <w:r>
        <w:t>项目负责人统筹安全生产，专职安全管理人员实施日常检查，专业工程师和班组长落实工序安全条件确认。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危大工程管理</w:t>
      </w:r>
    </w:p>
    <w:p>
      <w:r>
        <w:t>依据实际设计和施工条件识别危大工程，依法完成专项方案编制、审核、论证、交底、验收和监测。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应急管理</w:t>
      </w:r>
    </w:p>
    <w:p>
      <w:r>
        <w:t>建立综合应急预案和专项处置卡，定期组织演练，确保人员、物资、通信、救援路线和外部联络有效。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sectPr>
          <w:pgSz w:w="12240" w:h="15840"/>
          <w:pgMar w:top="1417" w:right="1361" w:bottom="1417" w:left="1474" w:header="720" w:footer="720" w:gutter="0"/>
          <w:cols w:space="720"/>
          <w:docGrid w:linePitch="360"/>
        </w:sectPr>
      </w:pPr>
    </w:p>
    <w:p>
      <w:pPr>
        <w:pStyle w:val="Heading1"/>
      </w:pPr>
      <w:r>
        <w:t>第4章 环境保护管理体系与措施</w:t>
      </w:r>
    </w:p>
    <w:p>
      <w:r>
        <w:t>AI 深化提示：建议围绕扬尘、噪声、污水、固废、建筑垃圾、光污染和绿色施工进行深化。校内工程应重点控制施工噪声对教学和住宿的影响，采取围挡封闭、湿法作业、裸土覆盖、车辆冲洗、材料覆盖运输、垃圾分类清运、污水沉淀后排放、夜间施工审批和告知等措施。食堂相关施工还应关注排水管道试验、厨房区域防水施工、设备安装期间的废料清理和成品保护。不得在无依据情况下承诺具体排放数值或监测频次，可表述为执行当地主管部门及招标文件要求。</w:t>
      </w:r>
    </w:p>
    <w:p>
      <w:pPr>
        <w:pStyle w:val="Heading2"/>
      </w:pPr>
      <w:r>
        <w:t>绿色施工</w:t>
      </w:r>
    </w:p>
    <w:p>
      <w:r>
        <w:t>实施扬尘、噪声、污水、固体废物和光污染控制，设置监测、巡查、整改和复查闭环。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校园及周边保护</w:t>
      </w:r>
    </w:p>
    <w:p>
      <w:r>
        <w:t>如项目处于校园或人员密集区域，施工区与活动区实行硬隔离，重要时段调整高噪声和运输作业。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节材节能</w:t>
      </w:r>
    </w:p>
    <w:p>
      <w:r>
        <w:t>通过深化排版、限额领料、周转材料管理、临时用电分区计量和节水措施降低资源消耗。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sectPr>
          <w:pgSz w:w="12240" w:h="15840"/>
          <w:pgMar w:top="1417" w:right="1361" w:bottom="1417" w:left="1474" w:header="720" w:footer="720" w:gutter="0"/>
          <w:cols w:space="720"/>
          <w:docGrid w:linePitch="360"/>
        </w:sectPr>
      </w:pPr>
    </w:p>
    <w:p>
      <w:pPr>
        <w:pStyle w:val="Heading1"/>
      </w:pPr>
      <w:r>
        <w:t>第5章 工程进度计划与保证措施</w:t>
      </w:r>
    </w:p>
    <w:p>
      <w:r>
        <w:t>AI 深化提示：建议以招标文件要求工期为总目标，采用横道图或网络计划表达，并设置关键线路和阶段节点。内容应包括施工准备、基础施工、主体结构、砌体及二次结构、屋面防水、安装预留预埋、装饰装修、机电安装、室外配套、调试验收、竣工资料等阶段。保证措施应从劳动力组织、材料采购、机械投入、工序穿插、图纸问题处理、样板先行、分包协调、雨季或不利天气应对等方面展开。若招标摘要未提供总工期，不应填写具体天数，应提示以招标文件专用条款为准。</w:t>
      </w:r>
    </w:p>
    <w:p>
      <w:pPr>
        <w:pStyle w:val="Heading2"/>
      </w:pPr>
      <w:r>
        <w:t>计划体系</w:t>
      </w:r>
    </w:p>
    <w:p>
      <w:r>
        <w:t>建立总进度、阶段节点、月计划、周计划和日协调计划，使用关键线路和前锋线动态纠偏。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保障措施</w:t>
      </w:r>
    </w:p>
    <w:p>
      <w:r>
        <w:t>将工作面、劳动力、机械、材料、技术资料和验收条件纳入滚动计划，提前识别制约因素。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延误处置</w:t>
      </w:r>
    </w:p>
    <w:p>
      <w:r>
        <w:t>出现偏差时分析原因并采用增加资源、优化流水、调整穿插和供应替代措施，重大调整履行审批。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sectPr>
          <w:pgSz w:w="12240" w:h="15840"/>
          <w:pgMar w:top="1417" w:right="1361" w:bottom="1417" w:left="1474" w:header="720" w:footer="720" w:gutter="0"/>
          <w:cols w:space="720"/>
          <w:docGrid w:linePitch="360"/>
        </w:sectPr>
      </w:pPr>
    </w:p>
    <w:p>
      <w:pPr>
        <w:pStyle w:val="Heading1"/>
      </w:pPr>
      <w:r>
        <w:t>第6章 资源配备计划</w:t>
      </w:r>
    </w:p>
    <w:p>
      <w:r>
        <w:t>AI 深化提示：建议分为劳动力计划、主要机械设备计划、主要材料供应计划、周转材料计划、检测测量仪器计划和资源调度措施。资源配置应与进度计划一致，按基础、主体、装饰安装、收尾阶段分别说明投入重点。机械设备应围绕房建施工需要配置，如测量仪器、土方机械、混凝土及钢筋加工设备、垂直运输设备、砂浆及装修工具、安装施工机具等，具体型号和数量应依据施工图、清单工程量和施工组织测算后填写。不得虚构投标人自有设备、人员履历或固定供应商信息。</w:t>
      </w:r>
    </w:p>
    <w:p>
      <w:pPr>
        <w:pStyle w:val="Heading2"/>
      </w:pPr>
      <w:r>
        <w:t>劳动力配置</w:t>
      </w:r>
    </w:p>
    <w:p>
      <w:r>
        <w:t>按施工阶段、专业、班组和工种配置人员，进退场计划与工作面移交、材料供应和机械能力同步。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机械设备配置</w:t>
      </w:r>
    </w:p>
    <w:p>
      <w:r>
        <w:t>设备选型与工程量、工期和场地条件匹配，建立进场验收、维护保养、备用替换和退场计划。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pStyle w:val="Heading2"/>
      </w:pPr>
      <w:r>
        <w:t>材料与检测资源</w:t>
      </w:r>
    </w:p>
    <w:p>
      <w:r>
        <w:t>形成主要材料采购供应计划、周转材料计划、试验检测计划和应急储备清单，并设置责任人和提前期。</w:t>
      </w:r>
    </w:p>
    <w:p>
      <w:r>
        <w:t>实施检查要点：明确责任岗位和完成时限；执行作业条件确认与书面交底；保留检查、验收和影像资料；发现偏差立即整改并复验销项。</w:t>
      </w:r>
    </w:p>
    <w:p>
      <w:pPr>
        <w:sectPr>
          <w:pgSz w:w="12240" w:h="15840"/>
          <w:pgMar w:top="1417" w:right="1361" w:bottom="1417" w:left="1474" w:header="720" w:footer="720" w:gutter="0"/>
          <w:cols w:space="720"/>
          <w:docGrid w:linePitch="360"/>
        </w:sectPr>
      </w:pPr>
    </w:p>
    <w:p>
      <w:pPr>
        <w:pStyle w:val="Heading1"/>
      </w:pPr>
      <w:r>
        <w:t>附录：评分响应矩阵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t>评分响应项</w:t>
            </w:r>
          </w:p>
        </w:tc>
        <w:tc>
          <w:tcPr>
            <w:tcW w:type="dxa" w:w="2351"/>
          </w:tcPr>
          <w:p>
            <w:r>
              <w:t>响应位置</w:t>
            </w:r>
          </w:p>
        </w:tc>
        <w:tc>
          <w:tcPr>
            <w:tcW w:type="dxa" w:w="2351"/>
          </w:tcPr>
          <w:p>
            <w:r>
              <w:t>编制要求</w:t>
            </w:r>
          </w:p>
        </w:tc>
        <w:tc>
          <w:tcPr>
            <w:tcW w:type="dxa" w:w="2351"/>
          </w:tcPr>
          <w:p>
            <w:r>
              <w:t>状态</w:t>
            </w:r>
          </w:p>
        </w:tc>
      </w:tr>
      <w:tr>
        <w:tc>
          <w:tcPr>
            <w:tcW w:type="dxa" w:w="2351"/>
          </w:tcPr>
          <w:p>
            <w:r>
              <w:t>1. 施工方案与技术措施</w:t>
            </w:r>
          </w:p>
        </w:tc>
        <w:tc>
          <w:tcPr>
            <w:tcW w:type="dxa" w:w="2351"/>
          </w:tcPr>
          <w:p>
            <w:r>
              <w:t>第1章</w:t>
            </w:r>
          </w:p>
        </w:tc>
        <w:tc>
          <w:tcPr>
            <w:tcW w:type="dxa" w:w="2351"/>
          </w:tcPr>
          <w:p>
            <w:r>
              <w:t>结合招标文件、清单和图纸形成可检查、可执行、可评分的响应内容。</w:t>
            </w:r>
          </w:p>
        </w:tc>
        <w:tc>
          <w:tcPr>
            <w:tcW w:type="dxa" w:w="2351"/>
          </w:tcPr>
          <w:p>
            <w:r>
              <w:t>待人工复核</w:t>
            </w:r>
          </w:p>
        </w:tc>
      </w:tr>
      <w:tr>
        <w:tc>
          <w:tcPr>
            <w:tcW w:type="dxa" w:w="2351"/>
          </w:tcPr>
          <w:p>
            <w:r>
              <w:t>2. 质量管理体系与措施</w:t>
            </w:r>
          </w:p>
        </w:tc>
        <w:tc>
          <w:tcPr>
            <w:tcW w:type="dxa" w:w="2351"/>
          </w:tcPr>
          <w:p>
            <w:r>
              <w:t>第2章</w:t>
            </w:r>
          </w:p>
        </w:tc>
        <w:tc>
          <w:tcPr>
            <w:tcW w:type="dxa" w:w="2351"/>
          </w:tcPr>
          <w:p>
            <w:r>
              <w:t>结合招标文件、清单和图纸形成可检查、可执行、可评分的响应内容。</w:t>
            </w:r>
          </w:p>
        </w:tc>
        <w:tc>
          <w:tcPr>
            <w:tcW w:type="dxa" w:w="2351"/>
          </w:tcPr>
          <w:p>
            <w:r>
              <w:t>待人工复核</w:t>
            </w:r>
          </w:p>
        </w:tc>
      </w:tr>
      <w:tr>
        <w:tc>
          <w:tcPr>
            <w:tcW w:type="dxa" w:w="2351"/>
          </w:tcPr>
          <w:p>
            <w:r>
              <w:t>3. 安全管理体系与措施</w:t>
            </w:r>
          </w:p>
        </w:tc>
        <w:tc>
          <w:tcPr>
            <w:tcW w:type="dxa" w:w="2351"/>
          </w:tcPr>
          <w:p>
            <w:r>
              <w:t>第3章</w:t>
            </w:r>
          </w:p>
        </w:tc>
        <w:tc>
          <w:tcPr>
            <w:tcW w:type="dxa" w:w="2351"/>
          </w:tcPr>
          <w:p>
            <w:r>
              <w:t>结合招标文件、清单和图纸形成可检查、可执行、可评分的响应内容。</w:t>
            </w:r>
          </w:p>
        </w:tc>
        <w:tc>
          <w:tcPr>
            <w:tcW w:type="dxa" w:w="2351"/>
          </w:tcPr>
          <w:p>
            <w:r>
              <w:t>待人工复核</w:t>
            </w:r>
          </w:p>
        </w:tc>
      </w:tr>
      <w:tr>
        <w:tc>
          <w:tcPr>
            <w:tcW w:type="dxa" w:w="2351"/>
          </w:tcPr>
          <w:p>
            <w:r>
              <w:t>4. 环境保护管理体系与措施</w:t>
            </w:r>
          </w:p>
        </w:tc>
        <w:tc>
          <w:tcPr>
            <w:tcW w:type="dxa" w:w="2351"/>
          </w:tcPr>
          <w:p>
            <w:r>
              <w:t>第4章</w:t>
            </w:r>
          </w:p>
        </w:tc>
        <w:tc>
          <w:tcPr>
            <w:tcW w:type="dxa" w:w="2351"/>
          </w:tcPr>
          <w:p>
            <w:r>
              <w:t>结合招标文件、清单和图纸形成可检查、可执行、可评分的响应内容。</w:t>
            </w:r>
          </w:p>
        </w:tc>
        <w:tc>
          <w:tcPr>
            <w:tcW w:type="dxa" w:w="2351"/>
          </w:tcPr>
          <w:p>
            <w:r>
              <w:t>待人工复核</w:t>
            </w:r>
          </w:p>
        </w:tc>
      </w:tr>
      <w:tr>
        <w:tc>
          <w:tcPr>
            <w:tcW w:type="dxa" w:w="2351"/>
          </w:tcPr>
          <w:p>
            <w:r>
              <w:t>5. 工程进度计划与保证措施</w:t>
            </w:r>
          </w:p>
        </w:tc>
        <w:tc>
          <w:tcPr>
            <w:tcW w:type="dxa" w:w="2351"/>
          </w:tcPr>
          <w:p>
            <w:r>
              <w:t>第5章</w:t>
            </w:r>
          </w:p>
        </w:tc>
        <w:tc>
          <w:tcPr>
            <w:tcW w:type="dxa" w:w="2351"/>
          </w:tcPr>
          <w:p>
            <w:r>
              <w:t>结合招标文件、清单和图纸形成可检查、可执行、可评分的响应内容。</w:t>
            </w:r>
          </w:p>
        </w:tc>
        <w:tc>
          <w:tcPr>
            <w:tcW w:type="dxa" w:w="2351"/>
          </w:tcPr>
          <w:p>
            <w:r>
              <w:t>待人工复核</w:t>
            </w:r>
          </w:p>
        </w:tc>
      </w:tr>
      <w:tr>
        <w:tc>
          <w:tcPr>
            <w:tcW w:type="dxa" w:w="2351"/>
          </w:tcPr>
          <w:p>
            <w:r>
              <w:t>6. 资源配备计划</w:t>
            </w:r>
          </w:p>
        </w:tc>
        <w:tc>
          <w:tcPr>
            <w:tcW w:type="dxa" w:w="2351"/>
          </w:tcPr>
          <w:p>
            <w:r>
              <w:t>第6章</w:t>
            </w:r>
          </w:p>
        </w:tc>
        <w:tc>
          <w:tcPr>
            <w:tcW w:type="dxa" w:w="2351"/>
          </w:tcPr>
          <w:p>
            <w:r>
              <w:t>结合招标文件、清单和图纸形成可检查、可执行、可评分的响应内容。</w:t>
            </w:r>
          </w:p>
        </w:tc>
        <w:tc>
          <w:tcPr>
            <w:tcW w:type="dxa" w:w="2351"/>
          </w:tcPr>
          <w:p>
            <w:r>
              <w:t>待人工复核</w:t>
            </w:r>
          </w:p>
        </w:tc>
      </w:tr>
    </w:tbl>
    <w:p>
      <w:pPr>
        <w:pStyle w:val="Heading1"/>
      </w:pPr>
      <w:r>
        <w:t>附录：工序通用检查表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351"/>
        <w:gridCol w:w="2351"/>
        <w:gridCol w:w="2351"/>
        <w:gridCol w:w="2351"/>
      </w:tblGrid>
      <w:tr>
        <w:tc>
          <w:tcPr>
            <w:tcW w:type="dxa" w:w="2351"/>
          </w:tcPr>
          <w:p>
            <w:r>
              <w:t>检查阶段</w:t>
            </w:r>
          </w:p>
        </w:tc>
        <w:tc>
          <w:tcPr>
            <w:tcW w:type="dxa" w:w="2351"/>
          </w:tcPr>
          <w:p>
            <w:r>
              <w:t>检查内容</w:t>
            </w:r>
          </w:p>
        </w:tc>
        <w:tc>
          <w:tcPr>
            <w:tcW w:type="dxa" w:w="2351"/>
          </w:tcPr>
          <w:p>
            <w:r>
              <w:t>责任岗位</w:t>
            </w:r>
          </w:p>
        </w:tc>
        <w:tc>
          <w:tcPr>
            <w:tcW w:type="dxa" w:w="2351"/>
          </w:tcPr>
          <w:p>
            <w:r>
              <w:t>输出记录</w:t>
            </w:r>
          </w:p>
        </w:tc>
      </w:tr>
      <w:tr>
        <w:tc>
          <w:tcPr>
            <w:tcW w:type="dxa" w:w="2351"/>
          </w:tcPr>
          <w:p>
            <w:r>
              <w:t>施工准备</w:t>
            </w:r>
          </w:p>
        </w:tc>
        <w:tc>
          <w:tcPr>
            <w:tcW w:type="dxa" w:w="2351"/>
          </w:tcPr>
          <w:p>
            <w:r>
              <w:t>图纸、方案、人员、材料、机械、环境条件</w:t>
            </w:r>
          </w:p>
        </w:tc>
        <w:tc>
          <w:tcPr>
            <w:tcW w:type="dxa" w:w="2351"/>
          </w:tcPr>
          <w:p>
            <w:r>
              <w:t>专业工程师</w:t>
            </w:r>
          </w:p>
        </w:tc>
        <w:tc>
          <w:tcPr>
            <w:tcW w:type="dxa" w:w="2351"/>
          </w:tcPr>
          <w:p>
            <w:r>
              <w:t>条件验收记录</w:t>
            </w:r>
          </w:p>
        </w:tc>
      </w:tr>
      <w:tr>
        <w:tc>
          <w:tcPr>
            <w:tcW w:type="dxa" w:w="2351"/>
          </w:tcPr>
          <w:p>
            <w:r>
              <w:t>首件施工</w:t>
            </w:r>
          </w:p>
        </w:tc>
        <w:tc>
          <w:tcPr>
            <w:tcW w:type="dxa" w:w="2351"/>
          </w:tcPr>
          <w:p>
            <w:r>
              <w:t>工艺参数、观感、实测指标、保护措施</w:t>
            </w:r>
          </w:p>
        </w:tc>
        <w:tc>
          <w:tcPr>
            <w:tcW w:type="dxa" w:w="2351"/>
          </w:tcPr>
          <w:p>
            <w:r>
              <w:t>质量负责人</w:t>
            </w:r>
          </w:p>
        </w:tc>
        <w:tc>
          <w:tcPr>
            <w:tcW w:type="dxa" w:w="2351"/>
          </w:tcPr>
          <w:p>
            <w:r>
              <w:t>样板验收记录</w:t>
            </w:r>
          </w:p>
        </w:tc>
      </w:tr>
      <w:tr>
        <w:tc>
          <w:tcPr>
            <w:tcW w:type="dxa" w:w="2351"/>
          </w:tcPr>
          <w:p>
            <w:r>
              <w:t>过程施工</w:t>
            </w:r>
          </w:p>
        </w:tc>
        <w:tc>
          <w:tcPr>
            <w:tcW w:type="dxa" w:w="2351"/>
          </w:tcPr>
          <w:p>
            <w:r>
              <w:t>关键参数、旁站点、隐蔽项目、偏差整改</w:t>
            </w:r>
          </w:p>
        </w:tc>
        <w:tc>
          <w:tcPr>
            <w:tcW w:type="dxa" w:w="2351"/>
          </w:tcPr>
          <w:p>
            <w:r>
              <w:t>施工员/质检员</w:t>
            </w:r>
          </w:p>
        </w:tc>
        <w:tc>
          <w:tcPr>
            <w:tcW w:type="dxa" w:w="2351"/>
          </w:tcPr>
          <w:p>
            <w:r>
              <w:t>检查及整改记录</w:t>
            </w:r>
          </w:p>
        </w:tc>
      </w:tr>
      <w:tr>
        <w:tc>
          <w:tcPr>
            <w:tcW w:type="dxa" w:w="2351"/>
          </w:tcPr>
          <w:p>
            <w:r>
              <w:t>工序移交</w:t>
            </w:r>
          </w:p>
        </w:tc>
        <w:tc>
          <w:tcPr>
            <w:tcW w:type="dxa" w:w="2351"/>
          </w:tcPr>
          <w:p>
            <w:r>
              <w:t>完成质量、成品保护、资料完整性</w:t>
            </w:r>
          </w:p>
        </w:tc>
        <w:tc>
          <w:tcPr>
            <w:tcW w:type="dxa" w:w="2351"/>
          </w:tcPr>
          <w:p>
            <w:r>
              <w:t>专业负责人</w:t>
            </w:r>
          </w:p>
        </w:tc>
        <w:tc>
          <w:tcPr>
            <w:tcW w:type="dxa" w:w="2351"/>
          </w:tcPr>
          <w:p>
            <w:r>
              <w:t>工序移交记录</w:t>
            </w:r>
          </w:p>
        </w:tc>
      </w:tr>
      <w:tr>
        <w:tc>
          <w:tcPr>
            <w:tcW w:type="dxa" w:w="2351"/>
          </w:tcPr>
          <w:p>
            <w:r>
              <w:t>验收归档</w:t>
            </w:r>
          </w:p>
        </w:tc>
        <w:tc>
          <w:tcPr>
            <w:tcW w:type="dxa" w:w="2351"/>
          </w:tcPr>
          <w:p>
            <w:r>
              <w:t>验收结论、检测报告、影像与签认</w:t>
            </w:r>
          </w:p>
        </w:tc>
        <w:tc>
          <w:tcPr>
            <w:tcW w:type="dxa" w:w="2351"/>
          </w:tcPr>
          <w:p>
            <w:r>
              <w:t>资料负责人</w:t>
            </w:r>
          </w:p>
        </w:tc>
        <w:tc>
          <w:tcPr>
            <w:tcW w:type="dxa" w:w="2351"/>
          </w:tcPr>
          <w:p>
            <w:r>
              <w:t>验收及归档清单</w:t>
            </w:r>
          </w:p>
        </w:tc>
      </w:tr>
    </w:tbl>
    <w:sectPr w:rsidR="00FC693F" w:rsidRPr="0006063C" w:rsidSect="00034616">
      <w:pgSz w:w="12240" w:h="15840"/>
      <w:pgMar w:top="1417" w:right="1361" w:bottom="1417" w:left="147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 w:eastAsia="宋体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宋体" w:hAnsi="宋体" w:eastAsia="宋体"/>
      <w:b/>
      <w:bCs/>
      <w:color w:val="365F91" w:themeColor="accent1" w:themeShade="BF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宋体" w:hAnsi="宋体" w:eastAsia="宋体"/>
      <w:b/>
      <w:bCs/>
      <w:color w:val="4F81BD" w:themeColor="accent1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宋体" w:hAnsi="宋体" w:eastAsia="宋体"/>
      <w:b/>
      <w:bCs/>
      <w:color w:val="4F81BD" w:themeColor="accent1"/>
      <w:sz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宋体" w:hAnsi="宋体" w:eastAsia="宋体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